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Nutzungsbedingungen MaxiPos Cloud</w:t>
      </w:r>
    </w:p>
    <w:p>
      <w:pPr>
        <w:spacing w:after="120"/>
      </w:pPr>
      <w:r>
        <w:rPr>
          <w:b w:val="0"/>
        </w:rPr>
        <w:t>Version 1.0 – Entwurf vom 21.10.2026</w:t>
      </w:r>
    </w:p>
    <w:p>
      <w:pPr>
        <w:pStyle w:val="Heading2"/>
      </w:pPr>
      <w:r>
        <w:rPr>
          <w:b w:val="0"/>
        </w:rPr>
        <w:t>1. Parteien und Geltungsbereich</w:t>
      </w:r>
    </w:p>
    <w:p>
      <w:pPr>
        <w:spacing w:after="120"/>
      </w:pPr>
      <w:r>
        <w:rPr>
          <w:b w:val="0"/>
        </w:rPr>
        <w:t xml:space="preserve">1.1 Diese Nutzungsbedingungen regeln das Verhältnis zwischen </w:t>
      </w:r>
      <w:r>
        <w:rPr>
          <w:b/>
        </w:rPr>
        <w:t>MSP Group GmbH</w:t>
      </w:r>
      <w:r>
        <w:rPr>
          <w:b w:val="0"/>
        </w:rPr>
        <w:t>, Lerzenstrasse 8, 8953 Dietikon, UID CHE-269.046.585 (nachfolgend «Anbieter») und dem Betrieb, der die MaxiPos-Kassensoftware und die zugehörigen Online-Dienste nutzt (nachfolgend «Kunde»).</w:t>
      </w:r>
    </w:p>
    <w:p>
      <w:pPr>
        <w:spacing w:after="120"/>
      </w:pPr>
      <w:r>
        <w:rPr>
          <w:b w:val="0"/>
        </w:rPr>
        <w:t>1.2 Sie gelten für die Kassensoftware (MaxiPos für Restaurant und Markt, Windows und Android), die Online-Portale (z. B. kasa.maxipos.io, market.maxipos.io und deren fremdsprachige Ausgaben), Aktualisierungen, Sicherungen und die Fernwartung (zusammen «Dienste»).</w:t>
      </w:r>
    </w:p>
    <w:p>
      <w:pPr>
        <w:spacing w:after="120"/>
      </w:pPr>
      <w:r>
        <w:rPr>
          <w:b w:val="0"/>
        </w:rPr>
        <w:t>1.3 Abweichende Bedingungen des Kunden gelten nur, wenn der Anbieter ihnen schriftlich zustimmt. Individuelle Offerten und Preislisten gehen diesen Bedingungen vor.</w:t>
      </w:r>
    </w:p>
    <w:p>
      <w:pPr>
        <w:spacing w:after="120"/>
      </w:pPr>
      <w:r>
        <w:rPr>
          <w:b w:val="0"/>
        </w:rPr>
        <w:t>1.4 Bestandteil dieser Nutzungsbedingungen ist der Auftragsbearbeitungsvertrag (AVV) mit seinen Anhängen.</w:t>
      </w:r>
    </w:p>
    <w:p>
      <w:pPr>
        <w:pStyle w:val="Heading2"/>
      </w:pPr>
      <w:r>
        <w:rPr>
          <w:b w:val="0"/>
        </w:rPr>
        <w:t>2. Leistungen des Anbieters</w:t>
      </w:r>
    </w:p>
    <w:p>
      <w:pPr>
        <w:spacing w:after="120"/>
      </w:pPr>
      <w:r>
        <w:rPr>
          <w:b w:val="0"/>
        </w:rPr>
        <w:t>2.1 Der Anbieter stellt dem Kunden die Kassensoftware zur Nutzung auf den Geräten des Kunden zur Verfügung und betreibt das Portal, über das der Kunde seine Verkaufs- und Kassendaten online einsehen, Berichte abrufen, den Artikelkatalog pflegen und Einstellungen vornehmen kann.</w:t>
      </w:r>
    </w:p>
    <w:p>
      <w:pPr>
        <w:spacing w:after="120"/>
      </w:pPr>
      <w:r>
        <w:rPr>
          <w:b w:val="0"/>
        </w:rPr>
        <w:t>2.2 Die Kasse speichert alle Daten zuerst lokal auf dem Gerät des Kunden. Das Portal erhält eine Kopie dieser Daten, sobald eine Internetverbindung besteht. Die Kasse funktioniert auch ohne Internetverbindung.</w:t>
      </w:r>
    </w:p>
    <w:p>
      <w:pPr>
        <w:spacing w:after="120"/>
      </w:pPr>
      <w:r>
        <w:rPr>
          <w:b w:val="0"/>
        </w:rPr>
        <w:t>2.3 Der Anbieter stellt Aktualisierungen der Software bereit. Der Kunde kann Aktualisierungen automatisch oder manuell einspielen.</w:t>
      </w:r>
    </w:p>
    <w:p>
      <w:pPr>
        <w:spacing w:after="120"/>
      </w:pPr>
      <w:r>
        <w:rPr>
          <w:b w:val="0"/>
        </w:rPr>
        <w:t>2.4 Auf Wunsch des Kunden leistet der Anbieter Unterstützung per Telefon, E-Mail oder Fernwartung. Fernwartung erfolgt nur, wenn der Kunde sie im Einzelfall freigibt.</w:t>
      </w:r>
    </w:p>
    <w:p>
      <w:pPr>
        <w:spacing w:after="120"/>
      </w:pPr>
      <w:r>
        <w:rPr>
          <w:b w:val="0"/>
        </w:rPr>
        <w:t>2.5 Der Anbieter bemüht sich um eine hohe Verfügbarkeit des Portals, schuldet aber keine ununterbrochene Verfügbarkeit. Wartungsarbeiten werden nach Möglichkeit ausserhalb der üblichen Geschäftszeiten durchgeführt.</w:t>
      </w:r>
    </w:p>
    <w:p>
      <w:pPr>
        <w:pStyle w:val="Heading2"/>
      </w:pPr>
      <w:r>
        <w:rPr>
          <w:b w:val="0"/>
        </w:rPr>
        <w:t>3. Pflichten des Kunden</w:t>
      </w:r>
    </w:p>
    <w:p>
      <w:pPr>
        <w:spacing w:after="120"/>
      </w:pPr>
      <w:r>
        <w:rPr>
          <w:b w:val="0"/>
        </w:rPr>
        <w:t>3.1 Der Kunde hält seine Zugangsdaten (Passwörter, PIN-Codes) geheim und vergibt Benutzerrechte nur an berechtigte Personen. Er meldet dem Anbieter unverzüglich, wenn er einen Missbrauch vermutet.</w:t>
      </w:r>
    </w:p>
    <w:p>
      <w:pPr>
        <w:spacing w:after="120"/>
      </w:pPr>
      <w:r>
        <w:rPr>
          <w:b w:val="0"/>
        </w:rPr>
        <w:t>3.2 Der Kunde ist für die Richtigkeit der von ihm erfassten Daten verantwortlich, insbesondere für Preise, Mehrwertsteuersätze, Firmen- und MWST-Angaben auf den Belegen.</w:t>
      </w:r>
    </w:p>
    <w:p>
      <w:pPr>
        <w:spacing w:after="120"/>
      </w:pPr>
      <w:r>
        <w:rPr>
          <w:b w:val="0"/>
        </w:rPr>
        <w:t>3.3 Der Kunde ist dafür verantwortlich, dass er die Dienste rechtmässig nutzt, insbesondere:</w:t>
      </w:r>
    </w:p>
    <w:p>
      <w:pPr>
        <w:pStyle w:val="ListBullet"/>
      </w:pPr>
      <w:r>
        <w:rPr>
          <w:b w:val="0"/>
        </w:rPr>
        <w:t>dass er seine Mitarbeitenden über die Protokolle der Kasse informiert (z. B. Benutzer pro Verkauf, gelöschte Positionen, Stornos, Arbeitszeiten); eine Vorlage stellt der Anbieter zur Verfügung;</w:t>
      </w:r>
    </w:p>
    <w:p>
      <w:pPr>
        <w:pStyle w:val="ListBullet"/>
      </w:pPr>
      <w:r>
        <w:rPr>
          <w:b w:val="0"/>
        </w:rPr>
        <w:t>dass er seine Gäste und Kunden über die Bearbeitung ihrer Daten informiert (z. B. Lieferadressen, Telefonnummern), etwa in seiner Datenschutzerklärung;</w:t>
      </w:r>
    </w:p>
    <w:p>
      <w:pPr>
        <w:pStyle w:val="ListBullet"/>
      </w:pPr>
      <w:r>
        <w:rPr>
          <w:b w:val="0"/>
        </w:rPr>
        <w:t>dass er die Kassengeräte vor unbefugtem Zugriff schützt.</w:t>
      </w:r>
    </w:p>
    <w:p>
      <w:pPr>
        <w:pStyle w:val="Heading2"/>
      </w:pPr>
      <w:r>
        <w:rPr>
          <w:b w:val="0"/>
        </w:rPr>
        <w:t>4. Aufbewahrung der Geschäftsunterlagen</w:t>
      </w:r>
    </w:p>
    <w:p>
      <w:pPr>
        <w:spacing w:after="120"/>
      </w:pPr>
      <w:r>
        <w:rPr>
          <w:b w:val="0"/>
        </w:rPr>
        <w:t xml:space="preserve">4.1 Die gesetzliche Pflicht zur Führung und Aufbewahrung der Geschäftsbücher und Buchungsbelege (insbesondere Art. 957 ff. OR, Art. 958f OR und die Geschäftsbücherverordnung GeBüV) sowie die steuerrechtlichen Aufbewahrungspflichten liegen </w:t>
      </w:r>
      <w:r>
        <w:rPr>
          <w:b/>
        </w:rPr>
        <w:t>ausschliesslich beim Kunden</w:t>
      </w:r>
      <w:r>
        <w:rPr>
          <w:b w:val="0"/>
        </w:rPr>
        <w:t>.</w:t>
      </w:r>
    </w:p>
    <w:p>
      <w:pPr>
        <w:spacing w:after="120"/>
      </w:pPr>
      <w:r>
        <w:rPr>
          <w:b w:val="0"/>
        </w:rPr>
        <w:t xml:space="preserve">4.2 Das Portal ist </w:t>
      </w:r>
      <w:r>
        <w:rPr>
          <w:b/>
        </w:rPr>
        <w:t>kein Archivsystem</w:t>
      </w:r>
      <w:r>
        <w:rPr>
          <w:b w:val="0"/>
        </w:rPr>
        <w:t xml:space="preserve"> im Sinne der GeBüV. Der Kunde sorgt selbst dafür, dass er seine Belege, Z-Berichte und weiteren Unterlagen während der gesetzlichen Fristen aufbewahrt, z. B. durch die lokale Kassendatenbank, eigene Sicherungen sowie die Export- und Druckfunktionen (PDF, CSV) der Kasse und des Portals.</w:t>
      </w:r>
    </w:p>
    <w:p>
      <w:pPr>
        <w:spacing w:after="120"/>
      </w:pPr>
      <w:r>
        <w:rPr>
          <w:b w:val="0"/>
        </w:rPr>
        <w:t>4.3 Eine Langzeitarchivierung durch den Anbieter erfolgt nur aufgrund einer separaten, schriftlichen Vereinbarung.</w:t>
      </w:r>
    </w:p>
    <w:p>
      <w:pPr>
        <w:pStyle w:val="Heading2"/>
      </w:pPr>
      <w:r>
        <w:rPr>
          <w:b w:val="0"/>
        </w:rPr>
        <w:t>5. Daten des Kunden und Datenschutz</w:t>
      </w:r>
    </w:p>
    <w:p>
      <w:pPr>
        <w:spacing w:after="120"/>
      </w:pPr>
      <w:r>
        <w:rPr>
          <w:b w:val="0"/>
        </w:rPr>
        <w:t>5.1 Alle Daten, die der Kunde mit den Diensten erfasst, bleiben Daten des Kunden. Der Anbieter bearbeitet sie ausschliesslich zur Erbringung der Dienste und gemäss dem Auftragsbearbeitungsvertrag.</w:t>
      </w:r>
    </w:p>
    <w:p>
      <w:pPr>
        <w:spacing w:after="120"/>
      </w:pPr>
      <w:r>
        <w:rPr>
          <w:b w:val="0"/>
        </w:rPr>
        <w:t>5.2 Der Anbieter darf technische Betriebsdaten (z. B. Softwareversion, Fehlerprotokolle, Zeitpunkt der letzten Synchronisation) auswerten, um die Dienste zu betreiben, zu sichern und zu verbessern.</w:t>
      </w:r>
    </w:p>
    <w:p>
      <w:pPr>
        <w:spacing w:after="120"/>
      </w:pPr>
      <w:r>
        <w:rPr>
          <w:b w:val="0"/>
        </w:rPr>
        <w:t>5.3 Der Anbieter darf zusammengefasste, nicht auf einzelne Kunden oder Personen zurückführbare Statistiken erstellen.</w:t>
      </w:r>
    </w:p>
    <w:p>
      <w:pPr>
        <w:pStyle w:val="Heading2"/>
      </w:pPr>
      <w:r>
        <w:rPr>
          <w:b w:val="0"/>
        </w:rPr>
        <w:t>6. Entgelt</w:t>
      </w:r>
    </w:p>
    <w:p>
      <w:pPr>
        <w:spacing w:after="120"/>
      </w:pPr>
      <w:r>
        <w:rPr>
          <w:b w:val="0"/>
        </w:rPr>
        <w:t>6.1 Die Entgelte richten sich nach der Offerte bzw. der gültigen Preisliste des Anbieters.</w:t>
      </w:r>
    </w:p>
    <w:p>
      <w:pPr>
        <w:spacing w:after="120"/>
      </w:pPr>
      <w:r>
        <w:rPr>
          <w:b w:val="0"/>
        </w:rPr>
        <w:t>6.2 Rechnungen sind innert 30 Tagen zahlbar. Bei Zahlungsverzug kann der Anbieter nach erfolgloser Mahnung den Zugang zum Portal einschränken. Die Kasse bleibt für den laufenden Betrieb nutzbar, und der Zugriff auf die lokal gespeicherten Daten bleibt erhalten.</w:t>
      </w:r>
    </w:p>
    <w:p>
      <w:pPr>
        <w:pStyle w:val="Heading2"/>
      </w:pPr>
      <w:r>
        <w:rPr>
          <w:b w:val="0"/>
        </w:rPr>
        <w:t>7. Geistiges Eigentum</w:t>
      </w:r>
    </w:p>
    <w:p>
      <w:pPr>
        <w:spacing w:after="120"/>
      </w:pPr>
      <w:r>
        <w:rPr>
          <w:b w:val="0"/>
        </w:rPr>
        <w:t>7.1 Die Software, die Portale und die Dokumentation sind Eigentum des Anbieters. Der Kunde erhält für die Vertragsdauer ein nicht übertragbares Nutzungsrecht für seine eigenen Betriebe.</w:t>
      </w:r>
    </w:p>
    <w:p>
      <w:pPr>
        <w:spacing w:after="120"/>
      </w:pPr>
      <w:r>
        <w:rPr>
          <w:b w:val="0"/>
        </w:rPr>
        <w:t>7.2 Der Kunde darf die Software nicht kopieren (ausser zu Sicherungszwecken), verändern, zurückentwickeln oder Dritten zur Verfügung stellen.</w:t>
      </w:r>
    </w:p>
    <w:p>
      <w:pPr>
        <w:pStyle w:val="Heading2"/>
      </w:pPr>
      <w:r>
        <w:rPr>
          <w:b w:val="0"/>
        </w:rPr>
        <w:t>8. Gewährleistung und Haftung</w:t>
      </w:r>
    </w:p>
    <w:p>
      <w:pPr>
        <w:spacing w:after="120"/>
      </w:pPr>
      <w:r>
        <w:rPr>
          <w:b w:val="0"/>
        </w:rPr>
        <w:t>8.1 Der Anbieter erbringt die Dienste sorgfältig nach dem Stand der Technik. Er gewährleistet nicht, dass die Software fehlerfrei ist. Gemeldete Fehler behebt er in angemessener Frist.</w:t>
      </w:r>
    </w:p>
    <w:p>
      <w:pPr>
        <w:spacing w:after="120"/>
      </w:pPr>
      <w:r>
        <w:rPr>
          <w:b w:val="0"/>
        </w:rPr>
        <w:t>8.2 Der Anbieter haftet für Schäden, die er vorsätzlich oder grobfahrlässig verursacht. Für leichte Fahrlässigkeit ist die Haftung – soweit gesetzlich zulässig – pro Vertragsjahr auf die Entgelte beschränkt, die der Kunde in den letzten 12 Monaten bezahlt hat. Die Haftung für indirekte Schäden und Folgeschäden, insbesondere entgangenen Gewinn und Datenverlust, ist ausgeschlossen, soweit gesetzlich zulässig.</w:t>
      </w:r>
    </w:p>
    <w:p>
      <w:pPr>
        <w:spacing w:after="120"/>
      </w:pPr>
      <w:r>
        <w:rPr>
          <w:b w:val="0"/>
        </w:rPr>
        <w:t>8.3 Der Anbieter haftet nicht für Schäden, die durch unsachgemässe Bedienung, falsche Eingaben (z. B. Preise oder Steuersätze), fehlende Sicherungen des Kunden, Ausfälle des Internets oder der Geräte des Kunden oder durch Dienste Dritter (z. B. Zahlungsterminals) entstehen.</w:t>
      </w:r>
    </w:p>
    <w:p>
      <w:pPr>
        <w:pStyle w:val="Heading2"/>
      </w:pPr>
      <w:r>
        <w:rPr>
          <w:b w:val="0"/>
        </w:rPr>
        <w:t>9. Laufzeit und Kündigung</w:t>
      </w:r>
    </w:p>
    <w:p>
      <w:pPr>
        <w:spacing w:after="120"/>
      </w:pPr>
      <w:r>
        <w:rPr>
          <w:b w:val="0"/>
        </w:rPr>
        <w:t xml:space="preserve">9.1 Der Vertrag beginnt mit der Annahme dieser Bedingungen und läuft auf unbestimmte Zeit. Er kann von beiden Parteien mit einer Frist von </w:t>
      </w:r>
      <w:r>
        <w:rPr>
          <w:b/>
        </w:rPr>
        <w:t>3 Monaten</w:t>
      </w:r>
      <w:r>
        <w:rPr>
          <w:b w:val="0"/>
        </w:rPr>
        <w:t xml:space="preserve"> auf ein Monatsende gekündigt werden, sofern die Offerte nichts anderes bestimmt.</w:t>
      </w:r>
    </w:p>
    <w:p>
      <w:pPr>
        <w:spacing w:after="120"/>
      </w:pPr>
      <w:r>
        <w:rPr>
          <w:b w:val="0"/>
        </w:rPr>
        <w:t>9.2 Das Recht zur fristlosen Kündigung aus wichtigem Grund bleibt vorbehalten.</w:t>
      </w:r>
    </w:p>
    <w:p>
      <w:pPr>
        <w:pStyle w:val="Heading2"/>
      </w:pPr>
      <w:r>
        <w:rPr>
          <w:b w:val="0"/>
        </w:rPr>
        <w:t>10. Vertragsende und Rückgabe der Daten</w:t>
      </w:r>
    </w:p>
    <w:p>
      <w:pPr>
        <w:spacing w:after="120"/>
      </w:pPr>
      <w:r>
        <w:rPr>
          <w:b w:val="0"/>
        </w:rPr>
        <w:t xml:space="preserve">10.1 Nach Vertragsende kann der Kunde während </w:t>
      </w:r>
      <w:r>
        <w:rPr>
          <w:b/>
        </w:rPr>
        <w:t>30 Tagen</w:t>
      </w:r>
      <w:r>
        <w:rPr>
          <w:b w:val="0"/>
        </w:rPr>
        <w:t xml:space="preserve"> seine Daten über die Exportfunktionen herunterladen. Auf Wunsch stellt ihm der Anbieter in dieser Frist einmalig einen vollständigen Export zur Verfügung.</w:t>
      </w:r>
    </w:p>
    <w:p>
      <w:pPr>
        <w:spacing w:after="120"/>
      </w:pPr>
      <w:r>
        <w:rPr>
          <w:b w:val="0"/>
        </w:rPr>
        <w:t xml:space="preserve">10.2 Spätestens </w:t>
      </w:r>
      <w:r>
        <w:rPr>
          <w:b/>
        </w:rPr>
        <w:t>60 Tage</w:t>
      </w:r>
      <w:r>
        <w:rPr>
          <w:b w:val="0"/>
        </w:rPr>
        <w:t xml:space="preserve"> nach Vertragsende löscht der Anbieter die Daten des Kunden im Portal und in seinen Sicherungen, soweit keine gesetzliche Pflicht zur Aufbewahrung beim Anbieter besteht. Daten in Sicherungen werden mit dem regulären Ablauf der Sicherungen gelöscht.</w:t>
      </w:r>
    </w:p>
    <w:p>
      <w:pPr>
        <w:spacing w:after="120"/>
      </w:pPr>
      <w:r>
        <w:rPr>
          <w:b w:val="0"/>
        </w:rPr>
        <w:t>10.3 Die lokal auf den Geräten des Kunden gespeicherten Daten bleiben vom Vertragsende unberührt.</w:t>
      </w:r>
    </w:p>
    <w:p>
      <w:pPr>
        <w:pStyle w:val="Heading2"/>
      </w:pPr>
      <w:r>
        <w:rPr>
          <w:b w:val="0"/>
        </w:rPr>
        <w:t>11. Änderungen dieser Bedingungen</w:t>
      </w:r>
    </w:p>
    <w:p>
      <w:pPr>
        <w:spacing w:after="120"/>
      </w:pPr>
      <w:r>
        <w:rPr>
          <w:b w:val="0"/>
        </w:rPr>
        <w:t>11.1 Der Anbieter kann diese Bedingungen ändern. Neue Versionen werden dem Kunden im Portal vorgelegt und gelten mit seiner Annahme. Lehnt der Kunde eine Änderung ab, kann er den Vertrag auf das Inkrafttreten der Änderung kündigen.</w:t>
      </w:r>
    </w:p>
    <w:p>
      <w:pPr>
        <w:pStyle w:val="Heading2"/>
      </w:pPr>
      <w:r>
        <w:rPr>
          <w:b w:val="0"/>
        </w:rPr>
        <w:t>12. Schlussbestimmungen</w:t>
      </w:r>
    </w:p>
    <w:p>
      <w:pPr>
        <w:spacing w:after="120"/>
      </w:pPr>
      <w:r>
        <w:rPr>
          <w:b w:val="0"/>
        </w:rPr>
        <w:t>12.1 Sollte eine Bestimmung unwirksam sein, bleibt der übrige Vertrag gültig. Die unwirksame Bestimmung wird durch eine wirksame ersetzt, die dem Zweck am nächsten kommt.</w:t>
      </w:r>
    </w:p>
    <w:p>
      <w:pPr>
        <w:spacing w:after="120"/>
      </w:pPr>
      <w:r>
        <w:rPr>
          <w:b w:val="0"/>
        </w:rPr>
        <w:t xml:space="preserve">12.2 Es gilt </w:t>
      </w:r>
      <w:r>
        <w:rPr>
          <w:b/>
        </w:rPr>
        <w:t>Schweizer Recht</w:t>
      </w:r>
      <w:r>
        <w:rPr>
          <w:b w:val="0"/>
        </w:rPr>
        <w:t xml:space="preserve"> unter Ausschluss des Wiener Kaufrechts.</w:t>
      </w:r>
    </w:p>
    <w:p>
      <w:pPr>
        <w:spacing w:after="120"/>
      </w:pPr>
      <w:r>
        <w:rPr>
          <w:b w:val="0"/>
        </w:rPr>
        <w:t xml:space="preserve">12.3 Gerichtsstand ist </w:t>
      </w:r>
      <w:r>
        <w:rPr>
          <w:b/>
        </w:rPr>
        <w:t>Dietikon (Kanton Zürich)</w:t>
      </w:r>
      <w:r>
        <w:rPr>
          <w:b w:val="0"/>
        </w:rPr>
        <w:t>.</w:t>
      </w:r>
    </w:p>
    <w:p>
      <w:pPr>
        <w:spacing w:after="120"/>
      </w:pPr>
      <w:r>
        <w:rPr>
          <w:b w:val="0"/>
        </w:rPr>
        <w:t>12.4 Massgebend ist die deutsche Fassung. Die französische Fassung dient der Information.</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